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3807" w14:textId="77777777" w:rsidR="00D10E17" w:rsidRDefault="00211328" w:rsidP="00D10E17">
      <w:pPr>
        <w:rPr>
          <w:rFonts w:cs="Tahoma"/>
          <w:b/>
          <w:sz w:val="24"/>
          <w:szCs w:val="24"/>
        </w:rPr>
      </w:pPr>
      <w:r w:rsidRPr="00211328">
        <w:rPr>
          <w:noProof/>
        </w:rPr>
        <w:drawing>
          <wp:inline distT="0" distB="0" distL="0" distR="0" wp14:anchorId="3DA27EB3" wp14:editId="1DE36B14">
            <wp:extent cx="2695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047750"/>
                    </a:xfrm>
                    <a:prstGeom prst="rect">
                      <a:avLst/>
                    </a:prstGeom>
                    <a:noFill/>
                    <a:ln>
                      <a:noFill/>
                    </a:ln>
                  </pic:spPr>
                </pic:pic>
              </a:graphicData>
            </a:graphic>
          </wp:inline>
        </w:drawing>
      </w:r>
    </w:p>
    <w:p w14:paraId="1126445B" w14:textId="40DF38E3" w:rsidR="00D10E17" w:rsidRPr="00D10E17" w:rsidRDefault="00D10E17" w:rsidP="00D10E17">
      <w:pPr>
        <w:jc w:val="center"/>
      </w:pPr>
      <w:r w:rsidRPr="00D10E17">
        <w:rPr>
          <w:rFonts w:cs="Tahoma"/>
          <w:b/>
          <w:sz w:val="24"/>
          <w:szCs w:val="24"/>
        </w:rPr>
        <w:t>EVENT APPROVAL REQUEST</w:t>
      </w:r>
    </w:p>
    <w:p w14:paraId="04191374" w14:textId="77777777" w:rsidR="00D10E17" w:rsidRPr="0033177F" w:rsidRDefault="00D10E17" w:rsidP="00D10E17">
      <w:pPr>
        <w:rPr>
          <w:rFonts w:cs="Tahoma"/>
          <w:sz w:val="28"/>
          <w:szCs w:val="28"/>
        </w:rPr>
      </w:pPr>
    </w:p>
    <w:p w14:paraId="510C0C0D" w14:textId="2F2FD2BE" w:rsidR="00D10E17" w:rsidRPr="00CA4558" w:rsidRDefault="00D10E17" w:rsidP="00D10E17">
      <w:pPr>
        <w:jc w:val="right"/>
        <w:rPr>
          <w:sz w:val="18"/>
          <w:szCs w:val="18"/>
        </w:rPr>
      </w:pPr>
      <w:r w:rsidRPr="00CA4558">
        <w:rPr>
          <w:sz w:val="18"/>
          <w:szCs w:val="18"/>
        </w:rPr>
        <w:t xml:space="preserve">Revised </w:t>
      </w:r>
      <w:r w:rsidR="003B2160">
        <w:rPr>
          <w:sz w:val="18"/>
          <w:szCs w:val="18"/>
        </w:rPr>
        <w:t>May</w:t>
      </w:r>
      <w:r w:rsidRPr="00CA4558">
        <w:rPr>
          <w:sz w:val="18"/>
          <w:szCs w:val="18"/>
        </w:rPr>
        <w:t xml:space="preserve"> 20</w:t>
      </w:r>
      <w:r>
        <w:rPr>
          <w:sz w:val="18"/>
          <w:szCs w:val="18"/>
        </w:rPr>
        <w:t>21</w:t>
      </w:r>
    </w:p>
    <w:p w14:paraId="5637306E" w14:textId="77777777" w:rsidR="00D10E17" w:rsidRDefault="00D10E17" w:rsidP="00D10E17">
      <w:r>
        <w:t>1. See notes below for full explanation.</w:t>
      </w:r>
    </w:p>
    <w:p w14:paraId="1E49C068" w14:textId="562AFF4D" w:rsidR="00D10E17" w:rsidRDefault="00D10E17" w:rsidP="00D10E17">
      <w:r>
        <w:t xml:space="preserve">2. Submit this form in </w:t>
      </w:r>
      <w:r w:rsidRPr="00D2596F">
        <w:rPr>
          <w:u w:val="single"/>
        </w:rPr>
        <w:t>MSWord</w:t>
      </w:r>
      <w:r>
        <w:t xml:space="preserve"> (not pdf) to </w:t>
      </w:r>
      <w:hyperlink r:id="rId11" w:history="1">
        <w:r w:rsidRPr="00C37610">
          <w:rPr>
            <w:rStyle w:val="Hyperlink"/>
          </w:rPr>
          <w:t>senior.tutor@hughes.cam.ac.uk</w:t>
        </w:r>
      </w:hyperlink>
      <w:r>
        <w:t xml:space="preserve"> at least 7 days before any proposed event for which you are asked to complete the form.</w:t>
      </w:r>
    </w:p>
    <w:p w14:paraId="0E672476" w14:textId="77777777" w:rsidR="00D10E17" w:rsidRDefault="00D10E17" w:rsidP="00D10E17">
      <w:r>
        <w:t xml:space="preserve">3. Hughes Hall reserves the right to seek further information, to stipulate conditions, or to decline a request submitted late. Events should not be publicised before approval is granted, so you are strongly advised to submit the form as early as possible. </w:t>
      </w:r>
    </w:p>
    <w:p w14:paraId="25EE6BB4" w14:textId="77777777" w:rsidR="00D10E17" w:rsidRPr="006F6881" w:rsidRDefault="00D10E17" w:rsidP="00D10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118"/>
        <w:gridCol w:w="5143"/>
      </w:tblGrid>
      <w:tr w:rsidR="00D10E17" w:rsidRPr="006F6881" w14:paraId="1368DE26" w14:textId="77777777" w:rsidTr="00EB18F7">
        <w:tc>
          <w:tcPr>
            <w:tcW w:w="2376" w:type="dxa"/>
            <w:shd w:val="clear" w:color="auto" w:fill="D9D9D9"/>
          </w:tcPr>
          <w:p w14:paraId="46A6B201" w14:textId="77777777" w:rsidR="00D10E17" w:rsidRDefault="00D10E17" w:rsidP="00EB18F7">
            <w:r>
              <w:t>Title of Event</w:t>
            </w:r>
          </w:p>
          <w:p w14:paraId="0407B37F" w14:textId="77777777" w:rsidR="00D10E17" w:rsidRPr="006F6881" w:rsidRDefault="00D10E17" w:rsidP="00EB18F7"/>
        </w:tc>
        <w:tc>
          <w:tcPr>
            <w:tcW w:w="7313" w:type="dxa"/>
            <w:gridSpan w:val="2"/>
            <w:shd w:val="clear" w:color="auto" w:fill="auto"/>
          </w:tcPr>
          <w:p w14:paraId="367DCE87" w14:textId="77777777" w:rsidR="00D10E17" w:rsidRPr="006F6881" w:rsidRDefault="00D10E17" w:rsidP="00EB18F7">
            <w:pPr>
              <w:jc w:val="both"/>
            </w:pPr>
          </w:p>
        </w:tc>
      </w:tr>
      <w:tr w:rsidR="00D10E17" w:rsidRPr="006F6881" w14:paraId="45EDFAA0" w14:textId="77777777" w:rsidTr="00EB18F7">
        <w:tc>
          <w:tcPr>
            <w:tcW w:w="2376" w:type="dxa"/>
            <w:shd w:val="clear" w:color="auto" w:fill="D9D9D9"/>
          </w:tcPr>
          <w:p w14:paraId="391F07C2" w14:textId="77777777" w:rsidR="00D10E17" w:rsidRDefault="00D10E17" w:rsidP="00EB18F7">
            <w:r>
              <w:t>Date, Time and</w:t>
            </w:r>
          </w:p>
          <w:p w14:paraId="767980E7" w14:textId="77777777" w:rsidR="00D10E17" w:rsidRDefault="00D10E17" w:rsidP="00EB18F7">
            <w:r>
              <w:t>Location</w:t>
            </w:r>
          </w:p>
        </w:tc>
        <w:tc>
          <w:tcPr>
            <w:tcW w:w="7313" w:type="dxa"/>
            <w:gridSpan w:val="2"/>
            <w:shd w:val="clear" w:color="auto" w:fill="auto"/>
          </w:tcPr>
          <w:p w14:paraId="2E531F8C" w14:textId="77777777" w:rsidR="00D10E17" w:rsidRPr="006F6881" w:rsidRDefault="00D10E17" w:rsidP="00EB18F7">
            <w:pPr>
              <w:jc w:val="both"/>
            </w:pPr>
          </w:p>
        </w:tc>
      </w:tr>
      <w:tr w:rsidR="00D10E17" w:rsidRPr="006F6881" w14:paraId="2336FB6D" w14:textId="77777777" w:rsidTr="00EB18F7">
        <w:tc>
          <w:tcPr>
            <w:tcW w:w="2376" w:type="dxa"/>
            <w:shd w:val="clear" w:color="auto" w:fill="D9D9D9"/>
          </w:tcPr>
          <w:p w14:paraId="55B4B1E0" w14:textId="77777777" w:rsidR="00D10E17" w:rsidRPr="006F6881" w:rsidRDefault="00D10E17" w:rsidP="00EB18F7">
            <w:r>
              <w:t xml:space="preserve">Event organiser, with email &amp; </w:t>
            </w:r>
            <w:r w:rsidRPr="006F6881">
              <w:t>phone no</w:t>
            </w:r>
          </w:p>
        </w:tc>
        <w:tc>
          <w:tcPr>
            <w:tcW w:w="7313" w:type="dxa"/>
            <w:gridSpan w:val="2"/>
            <w:shd w:val="clear" w:color="auto" w:fill="auto"/>
          </w:tcPr>
          <w:p w14:paraId="1018D1D8" w14:textId="77777777" w:rsidR="00D10E17" w:rsidRPr="006F6881" w:rsidRDefault="00D10E17" w:rsidP="00EB18F7">
            <w:pPr>
              <w:jc w:val="both"/>
            </w:pPr>
          </w:p>
        </w:tc>
      </w:tr>
      <w:tr w:rsidR="00D10E17" w:rsidRPr="006F6881" w14:paraId="5BE08CCC" w14:textId="77777777" w:rsidTr="00EB18F7">
        <w:tc>
          <w:tcPr>
            <w:tcW w:w="2376" w:type="dxa"/>
            <w:shd w:val="clear" w:color="auto" w:fill="D9D9D9"/>
          </w:tcPr>
          <w:p w14:paraId="0F5841AB" w14:textId="77777777" w:rsidR="00D10E17" w:rsidRPr="006F6881" w:rsidRDefault="00D10E17" w:rsidP="00EB18F7">
            <w:r>
              <w:t>All speakers, contact details &amp; affiliation</w:t>
            </w:r>
          </w:p>
        </w:tc>
        <w:tc>
          <w:tcPr>
            <w:tcW w:w="7313" w:type="dxa"/>
            <w:gridSpan w:val="2"/>
            <w:shd w:val="clear" w:color="auto" w:fill="auto"/>
          </w:tcPr>
          <w:p w14:paraId="47DBF205" w14:textId="77777777" w:rsidR="00D10E17" w:rsidRPr="006F6881" w:rsidRDefault="00D10E17" w:rsidP="00EB18F7">
            <w:pPr>
              <w:jc w:val="both"/>
            </w:pPr>
          </w:p>
        </w:tc>
      </w:tr>
      <w:tr w:rsidR="00D10E17" w:rsidRPr="006F6881" w14:paraId="7E41469E" w14:textId="77777777" w:rsidTr="00EB18F7">
        <w:tc>
          <w:tcPr>
            <w:tcW w:w="2376" w:type="dxa"/>
            <w:shd w:val="clear" w:color="auto" w:fill="D9D9D9"/>
          </w:tcPr>
          <w:p w14:paraId="508645ED" w14:textId="77777777" w:rsidR="00D10E17" w:rsidRDefault="00D10E17" w:rsidP="00EB18F7">
            <w:r>
              <w:t>Internal org</w:t>
            </w:r>
            <w:r>
              <w:softHyphen/>
              <w:t>anis</w:t>
            </w:r>
            <w:r>
              <w:softHyphen/>
              <w:t>ation(</w:t>
            </w:r>
            <w:proofErr w:type="gramStart"/>
            <w:r>
              <w:t>s)  represented</w:t>
            </w:r>
            <w:proofErr w:type="gramEnd"/>
          </w:p>
        </w:tc>
        <w:tc>
          <w:tcPr>
            <w:tcW w:w="7313" w:type="dxa"/>
            <w:gridSpan w:val="2"/>
            <w:shd w:val="clear" w:color="auto" w:fill="auto"/>
          </w:tcPr>
          <w:p w14:paraId="4A356A71" w14:textId="77777777" w:rsidR="00D10E17" w:rsidRPr="006F6881" w:rsidRDefault="00D10E17" w:rsidP="00EB18F7">
            <w:pPr>
              <w:jc w:val="both"/>
            </w:pPr>
          </w:p>
        </w:tc>
      </w:tr>
      <w:tr w:rsidR="00D10E17" w:rsidRPr="00C13B90" w14:paraId="7DE6D65D" w14:textId="77777777" w:rsidTr="00EB18F7">
        <w:tc>
          <w:tcPr>
            <w:tcW w:w="2376" w:type="dxa"/>
            <w:tcBorders>
              <w:bottom w:val="single" w:sz="4" w:space="0" w:color="auto"/>
            </w:tcBorders>
            <w:shd w:val="clear" w:color="auto" w:fill="D9D9D9"/>
          </w:tcPr>
          <w:p w14:paraId="293F05E0" w14:textId="77777777" w:rsidR="00D10E17" w:rsidRPr="00C13B90" w:rsidRDefault="00D10E17" w:rsidP="00EB18F7">
            <w:r>
              <w:t>External org</w:t>
            </w:r>
            <w:r>
              <w:softHyphen/>
              <w:t>anis</w:t>
            </w:r>
            <w:r>
              <w:softHyphen/>
              <w:t xml:space="preserve">ation(s) represented </w:t>
            </w:r>
          </w:p>
        </w:tc>
        <w:tc>
          <w:tcPr>
            <w:tcW w:w="7313" w:type="dxa"/>
            <w:gridSpan w:val="2"/>
            <w:tcBorders>
              <w:bottom w:val="single" w:sz="4" w:space="0" w:color="auto"/>
            </w:tcBorders>
            <w:shd w:val="clear" w:color="auto" w:fill="auto"/>
          </w:tcPr>
          <w:p w14:paraId="71D11A32" w14:textId="77777777" w:rsidR="00D10E17" w:rsidRPr="00C13B90" w:rsidRDefault="00D10E17" w:rsidP="00EB18F7">
            <w:pPr>
              <w:jc w:val="both"/>
            </w:pPr>
          </w:p>
        </w:tc>
      </w:tr>
      <w:tr w:rsidR="00D10E17" w:rsidRPr="006F6881" w14:paraId="448586F2" w14:textId="77777777" w:rsidTr="00EB18F7">
        <w:tc>
          <w:tcPr>
            <w:tcW w:w="2376" w:type="dxa"/>
            <w:shd w:val="clear" w:color="auto" w:fill="D9D9D9"/>
          </w:tcPr>
          <w:p w14:paraId="1BBAA4B3" w14:textId="77777777" w:rsidR="00D10E17" w:rsidRDefault="00D10E17" w:rsidP="00EB18F7">
            <w:r>
              <w:t>Any sponsorship, including for publicity</w:t>
            </w:r>
          </w:p>
        </w:tc>
        <w:tc>
          <w:tcPr>
            <w:tcW w:w="7313" w:type="dxa"/>
            <w:gridSpan w:val="2"/>
            <w:shd w:val="clear" w:color="auto" w:fill="auto"/>
          </w:tcPr>
          <w:p w14:paraId="624D24B1" w14:textId="77777777" w:rsidR="00D10E17" w:rsidRPr="006F6881" w:rsidRDefault="00D10E17" w:rsidP="00EB18F7">
            <w:pPr>
              <w:jc w:val="both"/>
            </w:pPr>
          </w:p>
        </w:tc>
      </w:tr>
      <w:tr w:rsidR="00D10E17" w:rsidRPr="006F6881" w14:paraId="15034333" w14:textId="77777777" w:rsidTr="00EB18F7">
        <w:tc>
          <w:tcPr>
            <w:tcW w:w="2376" w:type="dxa"/>
            <w:shd w:val="clear" w:color="auto" w:fill="D9D9D9"/>
          </w:tcPr>
          <w:p w14:paraId="5196DA4A" w14:textId="77777777" w:rsidR="00D10E17" w:rsidRDefault="00D10E17" w:rsidP="00EB18F7">
            <w:r>
              <w:t>If open, proposed publicity</w:t>
            </w:r>
          </w:p>
        </w:tc>
        <w:tc>
          <w:tcPr>
            <w:tcW w:w="7313" w:type="dxa"/>
            <w:gridSpan w:val="2"/>
            <w:shd w:val="clear" w:color="auto" w:fill="auto"/>
          </w:tcPr>
          <w:p w14:paraId="234123B3" w14:textId="77777777" w:rsidR="00D10E17" w:rsidRPr="006F6881" w:rsidRDefault="00D10E17" w:rsidP="00EB18F7">
            <w:pPr>
              <w:jc w:val="both"/>
            </w:pPr>
          </w:p>
        </w:tc>
      </w:tr>
      <w:tr w:rsidR="00D10E17" w:rsidRPr="00C13B90" w14:paraId="7F450687" w14:textId="77777777" w:rsidTr="00EB18F7">
        <w:tc>
          <w:tcPr>
            <w:tcW w:w="2376" w:type="dxa"/>
            <w:tcBorders>
              <w:bottom w:val="single" w:sz="4" w:space="0" w:color="auto"/>
            </w:tcBorders>
            <w:shd w:val="clear" w:color="auto" w:fill="D9D9D9"/>
          </w:tcPr>
          <w:p w14:paraId="3935C5B5" w14:textId="77777777" w:rsidR="00D10E17" w:rsidRDefault="00D10E17" w:rsidP="00EB18F7">
            <w:r>
              <w:t>Any media invited or anticipated?</w:t>
            </w:r>
          </w:p>
        </w:tc>
        <w:tc>
          <w:tcPr>
            <w:tcW w:w="7313" w:type="dxa"/>
            <w:gridSpan w:val="2"/>
            <w:tcBorders>
              <w:bottom w:val="single" w:sz="4" w:space="0" w:color="auto"/>
            </w:tcBorders>
            <w:shd w:val="clear" w:color="auto" w:fill="auto"/>
          </w:tcPr>
          <w:p w14:paraId="5EEE83D9" w14:textId="77777777" w:rsidR="00D10E17" w:rsidRPr="00C13B90" w:rsidRDefault="00D10E17" w:rsidP="00EB18F7">
            <w:pPr>
              <w:jc w:val="both"/>
            </w:pPr>
          </w:p>
        </w:tc>
      </w:tr>
      <w:tr w:rsidR="00D10E17" w:rsidRPr="00C13B90" w14:paraId="254DC574" w14:textId="77777777" w:rsidTr="00EB18F7">
        <w:tc>
          <w:tcPr>
            <w:tcW w:w="2376" w:type="dxa"/>
            <w:tcBorders>
              <w:bottom w:val="single" w:sz="4" w:space="0" w:color="auto"/>
            </w:tcBorders>
            <w:shd w:val="clear" w:color="auto" w:fill="D9D9D9"/>
          </w:tcPr>
          <w:p w14:paraId="16185C10" w14:textId="77777777" w:rsidR="00D10E17" w:rsidRPr="00C13B90" w:rsidRDefault="00D10E17" w:rsidP="00EB18F7">
            <w:r>
              <w:t>If closed, nature of group invited</w:t>
            </w:r>
          </w:p>
        </w:tc>
        <w:tc>
          <w:tcPr>
            <w:tcW w:w="7313" w:type="dxa"/>
            <w:gridSpan w:val="2"/>
            <w:tcBorders>
              <w:bottom w:val="single" w:sz="4" w:space="0" w:color="auto"/>
            </w:tcBorders>
            <w:shd w:val="clear" w:color="auto" w:fill="auto"/>
          </w:tcPr>
          <w:p w14:paraId="3F907E65" w14:textId="77777777" w:rsidR="00D10E17" w:rsidRPr="00C13B90" w:rsidRDefault="00D10E17" w:rsidP="00EB18F7">
            <w:pPr>
              <w:jc w:val="both"/>
            </w:pPr>
          </w:p>
        </w:tc>
      </w:tr>
      <w:tr w:rsidR="00D10E17" w:rsidRPr="00C13B90" w14:paraId="0764802B" w14:textId="77777777" w:rsidTr="00EB18F7">
        <w:tc>
          <w:tcPr>
            <w:tcW w:w="2376" w:type="dxa"/>
            <w:tcBorders>
              <w:bottom w:val="single" w:sz="4" w:space="0" w:color="auto"/>
            </w:tcBorders>
            <w:shd w:val="clear" w:color="auto" w:fill="D9D9D9"/>
          </w:tcPr>
          <w:p w14:paraId="339CC809" w14:textId="77777777" w:rsidR="00D10E17" w:rsidRPr="00C13B90" w:rsidRDefault="00D10E17" w:rsidP="00EB18F7">
            <w:r>
              <w:t xml:space="preserve">Responsible person to be present throughout </w:t>
            </w:r>
          </w:p>
        </w:tc>
        <w:tc>
          <w:tcPr>
            <w:tcW w:w="7313" w:type="dxa"/>
            <w:gridSpan w:val="2"/>
            <w:tcBorders>
              <w:bottom w:val="single" w:sz="4" w:space="0" w:color="auto"/>
            </w:tcBorders>
            <w:shd w:val="clear" w:color="auto" w:fill="auto"/>
          </w:tcPr>
          <w:p w14:paraId="20B2D365" w14:textId="77777777" w:rsidR="00D10E17" w:rsidRPr="00C13B90" w:rsidRDefault="00D10E17" w:rsidP="00EB18F7">
            <w:pPr>
              <w:jc w:val="both"/>
            </w:pPr>
          </w:p>
        </w:tc>
      </w:tr>
      <w:tr w:rsidR="00D10E17" w:rsidRPr="006F6881" w14:paraId="63BC7290" w14:textId="77777777" w:rsidTr="00EB18F7">
        <w:tc>
          <w:tcPr>
            <w:tcW w:w="2376" w:type="dxa"/>
            <w:tcBorders>
              <w:bottom w:val="nil"/>
            </w:tcBorders>
            <w:shd w:val="clear" w:color="auto" w:fill="D9D9D9"/>
          </w:tcPr>
          <w:p w14:paraId="3595A71F" w14:textId="77777777" w:rsidR="00D10E17" w:rsidRPr="006F6881" w:rsidRDefault="00D10E17" w:rsidP="00EB18F7"/>
        </w:tc>
        <w:tc>
          <w:tcPr>
            <w:tcW w:w="2127" w:type="dxa"/>
            <w:tcBorders>
              <w:bottom w:val="single" w:sz="4" w:space="0" w:color="auto"/>
            </w:tcBorders>
            <w:shd w:val="clear" w:color="auto" w:fill="D9D9D9"/>
          </w:tcPr>
          <w:p w14:paraId="49391E43" w14:textId="77777777" w:rsidR="00D10E17" w:rsidRPr="006F6881" w:rsidRDefault="00D10E17" w:rsidP="00EB18F7">
            <w:r>
              <w:t>College students</w:t>
            </w:r>
          </w:p>
        </w:tc>
        <w:tc>
          <w:tcPr>
            <w:tcW w:w="5186" w:type="dxa"/>
            <w:tcBorders>
              <w:bottom w:val="single" w:sz="4" w:space="0" w:color="auto"/>
            </w:tcBorders>
            <w:shd w:val="clear" w:color="auto" w:fill="auto"/>
          </w:tcPr>
          <w:p w14:paraId="2F4ACD8D" w14:textId="77777777" w:rsidR="00D10E17" w:rsidRPr="006F6881" w:rsidRDefault="00D10E17" w:rsidP="00EB18F7">
            <w:pPr>
              <w:jc w:val="both"/>
            </w:pPr>
          </w:p>
        </w:tc>
      </w:tr>
      <w:tr w:rsidR="00D10E17" w:rsidRPr="006F6881" w14:paraId="6550AC61" w14:textId="77777777" w:rsidTr="00EB18F7">
        <w:tc>
          <w:tcPr>
            <w:tcW w:w="2376" w:type="dxa"/>
            <w:tcBorders>
              <w:top w:val="nil"/>
              <w:left w:val="single" w:sz="4" w:space="0" w:color="auto"/>
              <w:bottom w:val="nil"/>
              <w:right w:val="single" w:sz="4" w:space="0" w:color="auto"/>
            </w:tcBorders>
            <w:shd w:val="clear" w:color="auto" w:fill="D9D9D9"/>
          </w:tcPr>
          <w:p w14:paraId="4F83DE12" w14:textId="77777777" w:rsidR="00D10E17" w:rsidRPr="006F6881" w:rsidRDefault="00D10E17" w:rsidP="00EB18F7">
            <w:r>
              <w:t>P</w:t>
            </w:r>
            <w:r w:rsidRPr="000832A7">
              <w:t>rojected</w:t>
            </w:r>
            <w:r>
              <w:t xml:space="preserve"> profile and</w:t>
            </w:r>
            <w:r w:rsidRPr="000832A7">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10EB37A0" w14:textId="77777777" w:rsidR="00D10E17" w:rsidRPr="006F6881" w:rsidRDefault="00D10E17" w:rsidP="00EB18F7">
            <w:r>
              <w:t>College seniors</w:t>
            </w:r>
          </w:p>
        </w:tc>
        <w:tc>
          <w:tcPr>
            <w:tcW w:w="5186" w:type="dxa"/>
            <w:tcBorders>
              <w:top w:val="single" w:sz="4" w:space="0" w:color="auto"/>
              <w:left w:val="single" w:sz="4" w:space="0" w:color="auto"/>
              <w:bottom w:val="single" w:sz="4" w:space="0" w:color="auto"/>
              <w:right w:val="single" w:sz="4" w:space="0" w:color="auto"/>
            </w:tcBorders>
            <w:shd w:val="clear" w:color="auto" w:fill="auto"/>
          </w:tcPr>
          <w:p w14:paraId="2AC1BBDC" w14:textId="77777777" w:rsidR="00D10E17" w:rsidRPr="006F6881" w:rsidRDefault="00D10E17" w:rsidP="00EB18F7">
            <w:pPr>
              <w:jc w:val="both"/>
            </w:pPr>
          </w:p>
        </w:tc>
      </w:tr>
      <w:tr w:rsidR="00D10E17" w:rsidRPr="006F6881" w14:paraId="0BCB4E89" w14:textId="77777777" w:rsidTr="00EB18F7">
        <w:tc>
          <w:tcPr>
            <w:tcW w:w="2376" w:type="dxa"/>
            <w:tcBorders>
              <w:top w:val="nil"/>
              <w:left w:val="single" w:sz="4" w:space="0" w:color="auto"/>
              <w:bottom w:val="nil"/>
              <w:right w:val="single" w:sz="4" w:space="0" w:color="auto"/>
            </w:tcBorders>
            <w:shd w:val="clear" w:color="auto" w:fill="D9D9D9"/>
          </w:tcPr>
          <w:p w14:paraId="62F1EDB0" w14:textId="77777777" w:rsidR="00D10E17" w:rsidRPr="006F6881" w:rsidRDefault="00D10E17" w:rsidP="00EB18F7">
            <w:r w:rsidRPr="000832A7">
              <w:t>number of attendees</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76385AB7" w14:textId="77777777" w:rsidR="00D10E17" w:rsidRPr="006F6881" w:rsidRDefault="00D10E17" w:rsidP="00EB18F7">
            <w:r>
              <w:t>University members</w:t>
            </w:r>
          </w:p>
        </w:tc>
        <w:tc>
          <w:tcPr>
            <w:tcW w:w="5186" w:type="dxa"/>
            <w:tcBorders>
              <w:top w:val="single" w:sz="4" w:space="0" w:color="auto"/>
              <w:left w:val="single" w:sz="4" w:space="0" w:color="auto"/>
              <w:bottom w:val="single" w:sz="4" w:space="0" w:color="auto"/>
              <w:right w:val="single" w:sz="4" w:space="0" w:color="auto"/>
            </w:tcBorders>
            <w:shd w:val="clear" w:color="auto" w:fill="auto"/>
          </w:tcPr>
          <w:p w14:paraId="6AFD2041" w14:textId="77777777" w:rsidR="00D10E17" w:rsidRPr="006F6881" w:rsidRDefault="00D10E17" w:rsidP="00EB18F7">
            <w:pPr>
              <w:jc w:val="both"/>
            </w:pPr>
          </w:p>
        </w:tc>
      </w:tr>
      <w:tr w:rsidR="00D10E17" w:rsidRPr="006F6881" w14:paraId="09DBAE55" w14:textId="77777777" w:rsidTr="00EB18F7">
        <w:tc>
          <w:tcPr>
            <w:tcW w:w="2376" w:type="dxa"/>
            <w:tcBorders>
              <w:top w:val="nil"/>
              <w:left w:val="single" w:sz="4" w:space="0" w:color="auto"/>
              <w:bottom w:val="single" w:sz="4" w:space="0" w:color="auto"/>
              <w:right w:val="single" w:sz="4" w:space="0" w:color="auto"/>
            </w:tcBorders>
            <w:shd w:val="clear" w:color="auto" w:fill="D9D9D9"/>
          </w:tcPr>
          <w:p w14:paraId="1190870F" w14:textId="77777777" w:rsidR="00D10E17" w:rsidRPr="006F6881" w:rsidRDefault="00D10E17" w:rsidP="00EB18F7"/>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709A0125" w14:textId="77777777" w:rsidR="00D10E17" w:rsidRPr="006F6881" w:rsidRDefault="00D10E17" w:rsidP="00EB18F7">
            <w:r>
              <w:t>External visitors</w:t>
            </w:r>
          </w:p>
        </w:tc>
        <w:tc>
          <w:tcPr>
            <w:tcW w:w="5186" w:type="dxa"/>
            <w:tcBorders>
              <w:top w:val="single" w:sz="4" w:space="0" w:color="auto"/>
              <w:left w:val="single" w:sz="4" w:space="0" w:color="auto"/>
              <w:bottom w:val="single" w:sz="4" w:space="0" w:color="auto"/>
              <w:right w:val="single" w:sz="4" w:space="0" w:color="auto"/>
            </w:tcBorders>
            <w:shd w:val="clear" w:color="auto" w:fill="auto"/>
          </w:tcPr>
          <w:p w14:paraId="5F2AD935" w14:textId="77777777" w:rsidR="00D10E17" w:rsidRPr="006F6881" w:rsidRDefault="00D10E17" w:rsidP="00EB18F7">
            <w:pPr>
              <w:jc w:val="both"/>
            </w:pPr>
          </w:p>
        </w:tc>
      </w:tr>
    </w:tbl>
    <w:p w14:paraId="4BBBB1D1" w14:textId="77777777" w:rsidR="00D10E17" w:rsidRPr="006F6881" w:rsidRDefault="00D10E17" w:rsidP="00D10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378"/>
      </w:tblGrid>
      <w:tr w:rsidR="00D10E17" w:rsidRPr="006F6881" w14:paraId="0678C5FB" w14:textId="77777777" w:rsidTr="00EB18F7">
        <w:tc>
          <w:tcPr>
            <w:tcW w:w="250" w:type="dxa"/>
            <w:shd w:val="clear" w:color="auto" w:fill="D9D9D9"/>
          </w:tcPr>
          <w:p w14:paraId="7AA18EF1" w14:textId="77777777" w:rsidR="00D10E17" w:rsidRPr="006F6881" w:rsidRDefault="00D10E17" w:rsidP="00EB18F7"/>
          <w:p w14:paraId="22F5A299" w14:textId="77777777" w:rsidR="00D10E17" w:rsidRPr="006F6881" w:rsidRDefault="00D10E17" w:rsidP="00EB18F7"/>
          <w:p w14:paraId="446B828D" w14:textId="77777777" w:rsidR="00D10E17" w:rsidRPr="006F6881" w:rsidRDefault="00D10E17" w:rsidP="00EB18F7"/>
          <w:p w14:paraId="6B7C3330" w14:textId="77777777" w:rsidR="00D10E17" w:rsidRDefault="00D10E17" w:rsidP="00EB18F7"/>
          <w:p w14:paraId="16C49BB8" w14:textId="77777777" w:rsidR="00D10E17" w:rsidRPr="006F6881" w:rsidRDefault="00D10E17" w:rsidP="00EB18F7"/>
          <w:p w14:paraId="0F96AF3F" w14:textId="77777777" w:rsidR="00D10E17" w:rsidRDefault="00D10E17" w:rsidP="00EB18F7"/>
          <w:p w14:paraId="22CDCFB7" w14:textId="77777777" w:rsidR="00D10E17" w:rsidRDefault="00D10E17" w:rsidP="00EB18F7"/>
          <w:p w14:paraId="4CA6726D" w14:textId="77777777" w:rsidR="00D10E17" w:rsidRDefault="00D10E17" w:rsidP="00EB18F7"/>
          <w:p w14:paraId="68FB4A50" w14:textId="77777777" w:rsidR="00D10E17" w:rsidRDefault="00D10E17" w:rsidP="00EB18F7"/>
          <w:p w14:paraId="0B5ED78D" w14:textId="77777777" w:rsidR="00D10E17" w:rsidRDefault="00D10E17" w:rsidP="00EB18F7"/>
          <w:p w14:paraId="507FF2B2" w14:textId="77777777" w:rsidR="00D10E17" w:rsidRPr="006F6881" w:rsidRDefault="00D10E17" w:rsidP="00EB18F7"/>
          <w:p w14:paraId="58A7D7F5" w14:textId="77777777" w:rsidR="00D10E17" w:rsidRDefault="00D10E17" w:rsidP="00EB18F7"/>
          <w:p w14:paraId="47983D8D" w14:textId="77777777" w:rsidR="00677FCF" w:rsidRDefault="00677FCF" w:rsidP="00EB18F7"/>
          <w:p w14:paraId="578E7286" w14:textId="3A14B609" w:rsidR="00677FCF" w:rsidRPr="006F6881" w:rsidRDefault="00677FCF" w:rsidP="00EB18F7"/>
        </w:tc>
        <w:tc>
          <w:tcPr>
            <w:tcW w:w="9497" w:type="dxa"/>
            <w:shd w:val="clear" w:color="auto" w:fill="auto"/>
          </w:tcPr>
          <w:p w14:paraId="0ECC730C" w14:textId="77777777" w:rsidR="00D10E17" w:rsidRPr="006A6DC4" w:rsidRDefault="00D10E17" w:rsidP="00EB18F7">
            <w:pPr>
              <w:rPr>
                <w:b/>
              </w:rPr>
            </w:pPr>
            <w:r>
              <w:rPr>
                <w:b/>
              </w:rPr>
              <w:lastRenderedPageBreak/>
              <w:t>D</w:t>
            </w:r>
            <w:r w:rsidRPr="006A6DC4">
              <w:rPr>
                <w:b/>
              </w:rPr>
              <w:t xml:space="preserve">escription of </w:t>
            </w:r>
            <w:r>
              <w:rPr>
                <w:b/>
              </w:rPr>
              <w:t>event, including title/theme of any talks</w:t>
            </w:r>
          </w:p>
          <w:p w14:paraId="54664A35" w14:textId="77777777" w:rsidR="00D10E17" w:rsidRPr="006F6881" w:rsidRDefault="00D10E17" w:rsidP="00EB18F7">
            <w:pPr>
              <w:jc w:val="both"/>
            </w:pPr>
          </w:p>
          <w:p w14:paraId="7339AB97" w14:textId="77777777" w:rsidR="00D10E17" w:rsidRPr="006F6881" w:rsidRDefault="00D10E17" w:rsidP="00EB18F7">
            <w:pPr>
              <w:jc w:val="both"/>
            </w:pPr>
          </w:p>
        </w:tc>
      </w:tr>
    </w:tbl>
    <w:p w14:paraId="624FE70D" w14:textId="77777777" w:rsidR="00D10E17" w:rsidRPr="006F6881" w:rsidRDefault="00D10E17" w:rsidP="00D10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402"/>
      </w:tblGrid>
      <w:tr w:rsidR="00D10E17" w:rsidRPr="006F6881" w14:paraId="46331B3D" w14:textId="77777777" w:rsidTr="00EB18F7">
        <w:tc>
          <w:tcPr>
            <w:tcW w:w="2235" w:type="dxa"/>
            <w:shd w:val="clear" w:color="auto" w:fill="D9D9D9"/>
          </w:tcPr>
          <w:p w14:paraId="2E5FD8C2" w14:textId="77777777" w:rsidR="00D10E17" w:rsidRPr="006F6881" w:rsidRDefault="00D10E17" w:rsidP="00EB18F7">
            <w:r>
              <w:t>Organiser’s statement</w:t>
            </w:r>
          </w:p>
        </w:tc>
        <w:tc>
          <w:tcPr>
            <w:tcW w:w="7454" w:type="dxa"/>
            <w:shd w:val="clear" w:color="auto" w:fill="auto"/>
          </w:tcPr>
          <w:p w14:paraId="2E0B47B2" w14:textId="77777777" w:rsidR="00D10E17" w:rsidRDefault="00D10E17" w:rsidP="00EB18F7">
            <w:r>
              <w:t xml:space="preserve">I will ensure that this event conforms to the Hughes Hall statement on </w:t>
            </w:r>
            <w:r w:rsidRPr="000832A7">
              <w:t>freedom of speech</w:t>
            </w:r>
            <w:r>
              <w:t xml:space="preserve">. I will immediately notify the Senior Tutor of any changes to these details, and accept that any false information may result in disciplinary action. </w:t>
            </w:r>
          </w:p>
          <w:p w14:paraId="01CA3A81" w14:textId="77777777" w:rsidR="00D10E17" w:rsidRPr="006F6881" w:rsidRDefault="00D10E17" w:rsidP="00EB18F7">
            <w:r>
              <w:t>I will accept any conditions proposed, or not proceed with the event. I or the ‘responsible person’ noted above will be present throughout the event.</w:t>
            </w:r>
          </w:p>
        </w:tc>
      </w:tr>
      <w:tr w:rsidR="00D10E17" w:rsidRPr="006F6881" w14:paraId="39748CAD" w14:textId="77777777" w:rsidTr="00EB18F7">
        <w:tc>
          <w:tcPr>
            <w:tcW w:w="2235" w:type="dxa"/>
            <w:shd w:val="clear" w:color="auto" w:fill="D9D9D9"/>
          </w:tcPr>
          <w:p w14:paraId="31A8CBBB" w14:textId="77777777" w:rsidR="00D10E17" w:rsidRDefault="00D10E17" w:rsidP="00EB18F7">
            <w:r>
              <w:t xml:space="preserve">Signature and Date </w:t>
            </w:r>
          </w:p>
          <w:p w14:paraId="339C83E0" w14:textId="77777777" w:rsidR="00D10E17" w:rsidRDefault="00D10E17" w:rsidP="00EB18F7"/>
          <w:p w14:paraId="167BF208" w14:textId="77777777" w:rsidR="00D10E17" w:rsidRDefault="00D10E17" w:rsidP="00EB18F7"/>
        </w:tc>
        <w:tc>
          <w:tcPr>
            <w:tcW w:w="7454" w:type="dxa"/>
            <w:shd w:val="clear" w:color="auto" w:fill="auto"/>
          </w:tcPr>
          <w:p w14:paraId="2C00E597" w14:textId="77777777" w:rsidR="00D10E17" w:rsidRPr="006F6881" w:rsidRDefault="00D10E17" w:rsidP="00EB18F7">
            <w:pPr>
              <w:jc w:val="both"/>
            </w:pPr>
          </w:p>
        </w:tc>
      </w:tr>
    </w:tbl>
    <w:p w14:paraId="474592E0" w14:textId="77777777" w:rsidR="00D10E17" w:rsidRDefault="00D10E17" w:rsidP="00D10E17">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400"/>
      </w:tblGrid>
      <w:tr w:rsidR="00D10E17" w:rsidRPr="006F6881" w14:paraId="40CCCE41" w14:textId="77777777" w:rsidTr="00EB18F7">
        <w:tc>
          <w:tcPr>
            <w:tcW w:w="2235" w:type="dxa"/>
            <w:shd w:val="clear" w:color="auto" w:fill="D9D9D9"/>
          </w:tcPr>
          <w:p w14:paraId="532086E5" w14:textId="77777777" w:rsidR="00D10E17" w:rsidRPr="006F6881" w:rsidRDefault="00D10E17" w:rsidP="00EB18F7">
            <w:r>
              <w:t>Senior Tutor</w:t>
            </w:r>
            <w:r w:rsidRPr="007E22BB">
              <w:rPr>
                <w:rFonts w:cs="Tahoma"/>
              </w:rPr>
              <w:t xml:space="preserve">’s </w:t>
            </w:r>
            <w:r>
              <w:t>Assessment and Decision</w:t>
            </w:r>
          </w:p>
        </w:tc>
        <w:tc>
          <w:tcPr>
            <w:tcW w:w="7454" w:type="dxa"/>
            <w:shd w:val="clear" w:color="auto" w:fill="auto"/>
          </w:tcPr>
          <w:p w14:paraId="21E3F222" w14:textId="77777777" w:rsidR="00D10E17" w:rsidRPr="006F6881" w:rsidRDefault="00D10E17" w:rsidP="00EB18F7">
            <w:pPr>
              <w:jc w:val="both"/>
            </w:pPr>
          </w:p>
        </w:tc>
      </w:tr>
      <w:tr w:rsidR="00D10E17" w:rsidRPr="006F6881" w14:paraId="4CB92DC5" w14:textId="77777777" w:rsidTr="00EB18F7">
        <w:tc>
          <w:tcPr>
            <w:tcW w:w="2235" w:type="dxa"/>
            <w:shd w:val="clear" w:color="auto" w:fill="D9D9D9"/>
          </w:tcPr>
          <w:p w14:paraId="0C116D88" w14:textId="77777777" w:rsidR="00D10E17" w:rsidRDefault="00D10E17" w:rsidP="00EB18F7">
            <w:r>
              <w:t xml:space="preserve">Signature and Date </w:t>
            </w:r>
          </w:p>
          <w:p w14:paraId="13A3ACB0" w14:textId="77777777" w:rsidR="00D10E17" w:rsidRDefault="00D10E17" w:rsidP="00EB18F7"/>
          <w:p w14:paraId="09248AD9" w14:textId="77777777" w:rsidR="00D10E17" w:rsidRDefault="00D10E17" w:rsidP="00EB18F7"/>
        </w:tc>
        <w:tc>
          <w:tcPr>
            <w:tcW w:w="7454" w:type="dxa"/>
            <w:shd w:val="clear" w:color="auto" w:fill="auto"/>
          </w:tcPr>
          <w:p w14:paraId="59EF4F11" w14:textId="77777777" w:rsidR="00D10E17" w:rsidRPr="006F6881" w:rsidRDefault="00D10E17" w:rsidP="00EB18F7">
            <w:pPr>
              <w:jc w:val="both"/>
            </w:pPr>
          </w:p>
        </w:tc>
      </w:tr>
    </w:tbl>
    <w:p w14:paraId="771DBC4C" w14:textId="77777777" w:rsidR="00D10E17" w:rsidRPr="0098201F" w:rsidRDefault="00D10E17" w:rsidP="00D10E17">
      <w:pPr>
        <w:rPr>
          <w:rFonts w:cs="Tahoma"/>
        </w:rPr>
      </w:pPr>
    </w:p>
    <w:p w14:paraId="4ACDB8BA" w14:textId="2264013D" w:rsidR="00D10E17" w:rsidRDefault="00D10E17" w:rsidP="00D10E17">
      <w:pPr>
        <w:rPr>
          <w:rFonts w:cs="Tahoma"/>
        </w:rPr>
      </w:pPr>
    </w:p>
    <w:p w14:paraId="7190366E" w14:textId="77777777" w:rsidR="00D10E17" w:rsidRDefault="00D10E17" w:rsidP="00D10E17">
      <w:pPr>
        <w:rPr>
          <w:rFonts w:cs="Tahoma"/>
        </w:rPr>
      </w:pPr>
    </w:p>
    <w:p w14:paraId="6B111FEA" w14:textId="66FA10D1" w:rsidR="00D10E17" w:rsidRDefault="00D10E17" w:rsidP="00D10E17">
      <w:pPr>
        <w:jc w:val="center"/>
        <w:rPr>
          <w:b/>
        </w:rPr>
      </w:pPr>
      <w:r w:rsidRPr="00264C30">
        <w:rPr>
          <w:b/>
          <w:sz w:val="24"/>
          <w:szCs w:val="24"/>
        </w:rPr>
        <w:t>MANAGEMENT OF EVENTS</w:t>
      </w:r>
    </w:p>
    <w:p w14:paraId="715A44E6" w14:textId="77777777" w:rsidR="00D10E17" w:rsidRDefault="00D10E17" w:rsidP="00D10E17">
      <w:pPr>
        <w:rPr>
          <w:rFonts w:cs="Tahoma"/>
        </w:rPr>
      </w:pPr>
    </w:p>
    <w:p w14:paraId="2F12210B" w14:textId="77777777" w:rsidR="00D10E17" w:rsidRPr="006A5199" w:rsidRDefault="00D10E17" w:rsidP="00D10E17">
      <w:pPr>
        <w:pStyle w:val="ListParagraph"/>
        <w:numPr>
          <w:ilvl w:val="0"/>
          <w:numId w:val="5"/>
        </w:numPr>
        <w:ind w:left="426" w:hanging="426"/>
        <w:jc w:val="left"/>
      </w:pPr>
      <w:r>
        <w:t xml:space="preserve">This procedure deals with both </w:t>
      </w:r>
      <w:r w:rsidRPr="000832A7">
        <w:t>risk assessment</w:t>
      </w:r>
      <w:r>
        <w:t xml:space="preserve"> and </w:t>
      </w:r>
      <w:r w:rsidRPr="000832A7">
        <w:t>management</w:t>
      </w:r>
      <w:r>
        <w:t xml:space="preserve"> of various college events, especially </w:t>
      </w:r>
      <w:r w:rsidRPr="006A5199">
        <w:t>those which include external speakers and/or attendees. Note:</w:t>
      </w:r>
    </w:p>
    <w:p w14:paraId="658A75A4" w14:textId="346FFD01" w:rsidR="00D10E17" w:rsidRPr="006A5199" w:rsidRDefault="00D10E17" w:rsidP="00D10E17">
      <w:pPr>
        <w:pStyle w:val="ListParagraph"/>
        <w:numPr>
          <w:ilvl w:val="0"/>
          <w:numId w:val="7"/>
        </w:numPr>
        <w:ind w:left="567" w:hanging="141"/>
        <w:jc w:val="left"/>
      </w:pPr>
      <w:r w:rsidRPr="006A5199">
        <w:t xml:space="preserve">‘external’ means </w:t>
      </w:r>
      <w:r>
        <w:t xml:space="preserve">anyone who is </w:t>
      </w:r>
      <w:r w:rsidRPr="006A5199">
        <w:t xml:space="preserve">not </w:t>
      </w:r>
      <w:r>
        <w:t xml:space="preserve">a </w:t>
      </w:r>
      <w:r w:rsidRPr="006A5199">
        <w:t>member of Cambridge University or one of its colleges</w:t>
      </w:r>
    </w:p>
    <w:p w14:paraId="0BCFFBD5" w14:textId="77777777" w:rsidR="00D10E17" w:rsidRPr="006A5199" w:rsidRDefault="00D10E17" w:rsidP="00D10E17">
      <w:pPr>
        <w:pStyle w:val="ListParagraph"/>
        <w:numPr>
          <w:ilvl w:val="0"/>
          <w:numId w:val="7"/>
        </w:numPr>
        <w:ind w:left="567" w:hanging="141"/>
        <w:jc w:val="left"/>
      </w:pPr>
      <w:r w:rsidRPr="006A5199">
        <w:t>private meetings of senior members or college-</w:t>
      </w:r>
      <w:r>
        <w:t>approv</w:t>
      </w:r>
      <w:r w:rsidRPr="006A5199">
        <w:t xml:space="preserve">ed events like dinners and concerts are not normally included – if in doubt, check with the Senior Tutor </w:t>
      </w:r>
    </w:p>
    <w:p w14:paraId="44FCD965" w14:textId="77777777" w:rsidR="00D10E17" w:rsidRPr="006A5199" w:rsidRDefault="00D10E17" w:rsidP="00D10E17"/>
    <w:p w14:paraId="332CC851" w14:textId="77777777" w:rsidR="00D10E17" w:rsidRPr="006A5199" w:rsidRDefault="00D10E17" w:rsidP="00D10E17">
      <w:pPr>
        <w:pStyle w:val="ListParagraph"/>
        <w:numPr>
          <w:ilvl w:val="0"/>
          <w:numId w:val="5"/>
        </w:numPr>
        <w:ind w:left="426" w:hanging="426"/>
        <w:jc w:val="left"/>
      </w:pPr>
      <w:r w:rsidRPr="006A5199">
        <w:t xml:space="preserve">It also demonstrates Hughes Hall’s compliance with the legal duties set out in the </w:t>
      </w:r>
      <w:r w:rsidRPr="006A5199">
        <w:rPr>
          <w:i/>
        </w:rPr>
        <w:t>Counter-Terrorism and Security Act 2015</w:t>
      </w:r>
      <w:r w:rsidRPr="006A5199">
        <w:t xml:space="preserve"> and the </w:t>
      </w:r>
      <w:r w:rsidRPr="006A5199">
        <w:rPr>
          <w:i/>
        </w:rPr>
        <w:t>Prevent</w:t>
      </w:r>
      <w:r w:rsidRPr="006A5199">
        <w:t xml:space="preserve"> duty guidance issued by government.  </w:t>
      </w:r>
    </w:p>
    <w:p w14:paraId="580D8FFC" w14:textId="77777777" w:rsidR="00D10E17" w:rsidRPr="006A5199" w:rsidRDefault="00D10E17" w:rsidP="00D10E17"/>
    <w:p w14:paraId="1B59981B" w14:textId="32EDD80C" w:rsidR="00D10E17" w:rsidRPr="006A5199" w:rsidRDefault="00A37DE7" w:rsidP="00D10E17">
      <w:pPr>
        <w:pStyle w:val="ListParagraph"/>
        <w:numPr>
          <w:ilvl w:val="0"/>
          <w:numId w:val="5"/>
        </w:numPr>
        <w:ind w:left="360"/>
        <w:jc w:val="left"/>
      </w:pPr>
      <w:bookmarkStart w:id="0" w:name="_Hlk72227319"/>
      <w:r>
        <w:t>Hughes Hall</w:t>
      </w:r>
      <w:r>
        <w:rPr>
          <w:color w:val="000000"/>
        </w:rPr>
        <w:t xml:space="preserve"> is strongly committed to the principle of freedom of speech. </w:t>
      </w:r>
      <w:r>
        <w:t xml:space="preserve">Every event organiser must ensure that their event complies with the </w:t>
      </w:r>
      <w:hyperlink r:id="rId12" w:history="1">
        <w:r w:rsidRPr="00A37DE7">
          <w:rPr>
            <w:rStyle w:val="Hyperlink"/>
          </w:rPr>
          <w:t>University’s Statement on Freedom of Speech</w:t>
        </w:r>
      </w:hyperlink>
      <w:r>
        <w:t>, which the College has adopted</w:t>
      </w:r>
      <w:r w:rsidR="00D10E17" w:rsidRPr="006A5199">
        <w:t>.</w:t>
      </w:r>
    </w:p>
    <w:bookmarkEnd w:id="0"/>
    <w:p w14:paraId="572D0A51" w14:textId="77777777" w:rsidR="00D10E17" w:rsidRPr="006A5199" w:rsidRDefault="00D10E17" w:rsidP="00D10E17">
      <w:pPr>
        <w:pStyle w:val="ListParagraph"/>
      </w:pPr>
    </w:p>
    <w:p w14:paraId="75F19C57" w14:textId="77777777" w:rsidR="00D10E17" w:rsidRDefault="00D10E17" w:rsidP="00D10E17">
      <w:pPr>
        <w:pStyle w:val="ListParagraph"/>
        <w:numPr>
          <w:ilvl w:val="0"/>
          <w:numId w:val="5"/>
        </w:numPr>
        <w:ind w:left="360"/>
        <w:jc w:val="left"/>
      </w:pPr>
      <w:r w:rsidRPr="006A5199">
        <w:t>The organiser of a proposed event which meets any of the following criteria may be asked to submit an</w:t>
      </w:r>
      <w:r w:rsidRPr="0094793E">
        <w:t xml:space="preserve"> Event Approval Request form</w:t>
      </w:r>
      <w:r>
        <w:t>:</w:t>
      </w:r>
    </w:p>
    <w:p w14:paraId="5107AA6B" w14:textId="2BA20D68" w:rsidR="00D10E17" w:rsidRDefault="00D10E17" w:rsidP="00D10E17">
      <w:pPr>
        <w:pStyle w:val="ListParagraph"/>
        <w:numPr>
          <w:ilvl w:val="0"/>
          <w:numId w:val="6"/>
        </w:numPr>
        <w:ind w:left="567" w:hanging="141"/>
        <w:jc w:val="left"/>
      </w:pPr>
      <w:r>
        <w:t>invitation given to one or more external participant(s)</w:t>
      </w:r>
    </w:p>
    <w:p w14:paraId="2E21AB9B" w14:textId="77777777" w:rsidR="00D10E17" w:rsidRDefault="00D10E17" w:rsidP="00D10E17">
      <w:pPr>
        <w:pStyle w:val="ListParagraph"/>
        <w:numPr>
          <w:ilvl w:val="0"/>
          <w:numId w:val="6"/>
        </w:numPr>
        <w:ind w:left="567" w:hanging="141"/>
        <w:jc w:val="left"/>
      </w:pPr>
      <w:r>
        <w:t xml:space="preserve">publicity or invitations sent beyond Cambridge </w:t>
      </w:r>
      <w:r w:rsidRPr="000832A7">
        <w:t>University</w:t>
      </w:r>
      <w:r>
        <w:t xml:space="preserve"> </w:t>
      </w:r>
    </w:p>
    <w:p w14:paraId="5CC11FE4" w14:textId="77777777" w:rsidR="00D10E17" w:rsidRDefault="00D10E17" w:rsidP="00D10E17">
      <w:pPr>
        <w:pStyle w:val="ListParagraph"/>
        <w:numPr>
          <w:ilvl w:val="0"/>
          <w:numId w:val="6"/>
        </w:numPr>
        <w:ind w:left="567" w:hanging="141"/>
        <w:jc w:val="left"/>
      </w:pPr>
      <w:r>
        <w:t>expectation of more than 30 attendees (unless the event is for Hughes Hall students only and approv</w:t>
      </w:r>
      <w:r w:rsidRPr="006A5199">
        <w:t xml:space="preserve">ed </w:t>
      </w:r>
      <w:r>
        <w:t>by the MCR committee)</w:t>
      </w:r>
    </w:p>
    <w:p w14:paraId="77F14BB6" w14:textId="77777777" w:rsidR="00D10E17" w:rsidRDefault="00D10E17" w:rsidP="00D10E17">
      <w:pPr>
        <w:pStyle w:val="ListParagraph"/>
        <w:numPr>
          <w:ilvl w:val="0"/>
          <w:numId w:val="6"/>
        </w:numPr>
        <w:ind w:left="567" w:hanging="141"/>
        <w:jc w:val="left"/>
      </w:pPr>
      <w:r>
        <w:t>concern expressed by the Conference Office or the Senior Tutor</w:t>
      </w:r>
    </w:p>
    <w:p w14:paraId="7EF275CE" w14:textId="77777777" w:rsidR="00D10E17" w:rsidRDefault="00D10E17" w:rsidP="00D10E17">
      <w:pPr>
        <w:pStyle w:val="ListParagraph"/>
      </w:pPr>
    </w:p>
    <w:p w14:paraId="369E673B" w14:textId="4B61A653" w:rsidR="00D10E17" w:rsidRDefault="00D10E17" w:rsidP="00D10E17">
      <w:pPr>
        <w:pStyle w:val="ListParagraph"/>
        <w:numPr>
          <w:ilvl w:val="0"/>
          <w:numId w:val="5"/>
        </w:numPr>
        <w:ind w:left="360"/>
        <w:jc w:val="left"/>
      </w:pPr>
      <w:r>
        <w:t>T</w:t>
      </w:r>
      <w:r w:rsidRPr="0094793E">
        <w:t xml:space="preserve">he organiser of any </w:t>
      </w:r>
      <w:r>
        <w:t xml:space="preserve">such </w:t>
      </w:r>
      <w:r w:rsidRPr="0094793E">
        <w:t xml:space="preserve">event must submit an Event Approval Request form to the </w:t>
      </w:r>
      <w:r>
        <w:t xml:space="preserve">Senior Tutor </w:t>
      </w:r>
      <w:r w:rsidRPr="002264C3">
        <w:t xml:space="preserve">at least 7 days </w:t>
      </w:r>
      <w:r>
        <w:t xml:space="preserve">before the proposed date. </w:t>
      </w:r>
      <w:r w:rsidRPr="002264C3">
        <w:t xml:space="preserve">Hughes Hall reserves the right to decline </w:t>
      </w:r>
      <w:r w:rsidR="00677FCF">
        <w:t xml:space="preserve">late </w:t>
      </w:r>
      <w:r w:rsidRPr="002264C3">
        <w:t>requests.</w:t>
      </w:r>
    </w:p>
    <w:p w14:paraId="75EB24F6" w14:textId="77777777" w:rsidR="00D10E17" w:rsidRDefault="00D10E17" w:rsidP="00D10E17">
      <w:pPr>
        <w:pStyle w:val="ListParagraph"/>
      </w:pPr>
    </w:p>
    <w:p w14:paraId="58F5EC19" w14:textId="77777777" w:rsidR="00D10E17" w:rsidRDefault="00D10E17" w:rsidP="00D10E17">
      <w:pPr>
        <w:pStyle w:val="ListParagraph"/>
        <w:numPr>
          <w:ilvl w:val="0"/>
          <w:numId w:val="5"/>
        </w:numPr>
        <w:ind w:left="360"/>
        <w:jc w:val="left"/>
      </w:pPr>
      <w:r>
        <w:t>No event</w:t>
      </w:r>
      <w:r w:rsidRPr="002264C3">
        <w:t xml:space="preserve"> should be public</w:t>
      </w:r>
      <w:r>
        <w:t>ised before approval is granted,</w:t>
      </w:r>
      <w:r w:rsidRPr="002264C3">
        <w:t xml:space="preserve"> </w:t>
      </w:r>
      <w:r>
        <w:t>so it is in the organiser’s interest to request approval well in advance of the proposed date.</w:t>
      </w:r>
    </w:p>
    <w:p w14:paraId="6D6F694D" w14:textId="77777777" w:rsidR="00D10E17" w:rsidRDefault="00D10E17" w:rsidP="00D10E17">
      <w:pPr>
        <w:pStyle w:val="ListParagraph"/>
      </w:pPr>
    </w:p>
    <w:p w14:paraId="6627903A" w14:textId="77777777" w:rsidR="00D10E17" w:rsidRDefault="00D10E17" w:rsidP="00D10E17">
      <w:pPr>
        <w:pStyle w:val="ListParagraph"/>
        <w:numPr>
          <w:ilvl w:val="0"/>
          <w:numId w:val="5"/>
        </w:numPr>
        <w:ind w:left="360"/>
        <w:jc w:val="left"/>
      </w:pPr>
      <w:r>
        <w:t xml:space="preserve">The Senior Tutor will assess the proposed event in light of legislation and guidance, and will authorise it as proposed, </w:t>
      </w:r>
      <w:r w:rsidRPr="00A672DD">
        <w:t>or authorise it with conditions</w:t>
      </w:r>
      <w:r>
        <w:t>, or decline the request.</w:t>
      </w:r>
    </w:p>
    <w:p w14:paraId="16D4F895" w14:textId="77777777" w:rsidR="00D10E17" w:rsidRDefault="00D10E17" w:rsidP="00D10E17">
      <w:pPr>
        <w:pStyle w:val="ListParagraph"/>
      </w:pPr>
    </w:p>
    <w:p w14:paraId="03513B1B" w14:textId="77777777" w:rsidR="00D10E17" w:rsidRDefault="00D10E17" w:rsidP="00D10E17">
      <w:pPr>
        <w:pStyle w:val="ListParagraph"/>
        <w:numPr>
          <w:ilvl w:val="0"/>
          <w:numId w:val="5"/>
        </w:numPr>
        <w:ind w:left="360"/>
        <w:jc w:val="left"/>
      </w:pPr>
      <w:r w:rsidRPr="002264C3">
        <w:lastRenderedPageBreak/>
        <w:t>Hughes Hall reserves the right to</w:t>
      </w:r>
      <w:r>
        <w:t xml:space="preserve"> review its decision if the organiser does not communicate changes of plan to the Senior Tutor, and to cancel an event, even at the last minute, if it becomes aware of significant unauthorised changes.</w:t>
      </w:r>
    </w:p>
    <w:p w14:paraId="5E553F84" w14:textId="77777777" w:rsidR="00D10E17" w:rsidRDefault="00D10E17" w:rsidP="00D10E17">
      <w:pPr>
        <w:pStyle w:val="ListParagraph"/>
      </w:pPr>
    </w:p>
    <w:p w14:paraId="07729A74" w14:textId="77777777" w:rsidR="00D10E17" w:rsidRDefault="00D10E17" w:rsidP="00D10E17">
      <w:pPr>
        <w:pStyle w:val="ListParagraph"/>
        <w:numPr>
          <w:ilvl w:val="0"/>
          <w:numId w:val="5"/>
        </w:numPr>
        <w:ind w:left="360"/>
        <w:jc w:val="left"/>
      </w:pPr>
      <w:r>
        <w:t>The conditions which may be required include:</w:t>
      </w:r>
    </w:p>
    <w:p w14:paraId="529C030C" w14:textId="77777777" w:rsidR="00D10E17" w:rsidRDefault="00D10E17" w:rsidP="00D10E17">
      <w:pPr>
        <w:pStyle w:val="ListParagraph"/>
        <w:numPr>
          <w:ilvl w:val="0"/>
          <w:numId w:val="3"/>
        </w:numPr>
        <w:ind w:left="567" w:hanging="207"/>
        <w:jc w:val="left"/>
      </w:pPr>
      <w:r>
        <w:t>change of time or location</w:t>
      </w:r>
    </w:p>
    <w:p w14:paraId="462DB1F6" w14:textId="77777777" w:rsidR="00D10E17" w:rsidRDefault="00D10E17" w:rsidP="00D10E17">
      <w:pPr>
        <w:pStyle w:val="ListParagraph"/>
        <w:numPr>
          <w:ilvl w:val="0"/>
          <w:numId w:val="3"/>
        </w:numPr>
        <w:ind w:left="567" w:hanging="207"/>
        <w:jc w:val="left"/>
      </w:pPr>
      <w:r>
        <w:t>limits on attendance or activities</w:t>
      </w:r>
    </w:p>
    <w:p w14:paraId="6210F299" w14:textId="77777777" w:rsidR="00D10E17" w:rsidRDefault="00D10E17" w:rsidP="00D10E17">
      <w:pPr>
        <w:pStyle w:val="ListParagraph"/>
        <w:numPr>
          <w:ilvl w:val="0"/>
          <w:numId w:val="3"/>
        </w:numPr>
        <w:ind w:left="567" w:hanging="207"/>
        <w:jc w:val="left"/>
      </w:pPr>
      <w:r>
        <w:t>provision of a chairperson or additional contributor(s) with alternative perspective(s)</w:t>
      </w:r>
    </w:p>
    <w:p w14:paraId="3F37B551" w14:textId="77777777" w:rsidR="00D10E17" w:rsidRDefault="00D10E17" w:rsidP="00D10E17">
      <w:pPr>
        <w:pStyle w:val="ListParagraph"/>
        <w:numPr>
          <w:ilvl w:val="0"/>
          <w:numId w:val="3"/>
        </w:numPr>
        <w:ind w:left="567" w:hanging="207"/>
        <w:jc w:val="left"/>
      </w:pPr>
      <w:r>
        <w:t>presence of Hughes Hall senior members or staff</w:t>
      </w:r>
    </w:p>
    <w:p w14:paraId="5733C72E" w14:textId="77777777" w:rsidR="00D10E17" w:rsidRDefault="00D10E17" w:rsidP="00D10E17">
      <w:pPr>
        <w:pStyle w:val="ListParagraph"/>
      </w:pPr>
    </w:p>
    <w:p w14:paraId="786D18FB" w14:textId="77777777" w:rsidR="00D10E17" w:rsidRPr="000832A7" w:rsidRDefault="00D10E17" w:rsidP="00D10E17">
      <w:pPr>
        <w:pStyle w:val="ListParagraph"/>
        <w:numPr>
          <w:ilvl w:val="0"/>
          <w:numId w:val="5"/>
        </w:numPr>
        <w:ind w:left="360"/>
        <w:jc w:val="left"/>
      </w:pPr>
      <w:r>
        <w:t xml:space="preserve">The reasons for declining an event </w:t>
      </w:r>
      <w:r w:rsidRPr="000832A7">
        <w:t>include:</w:t>
      </w:r>
    </w:p>
    <w:p w14:paraId="0C645D42" w14:textId="77777777" w:rsidR="00D10E17" w:rsidRDefault="00D10E17" w:rsidP="00D10E17">
      <w:pPr>
        <w:pStyle w:val="ListParagraph"/>
        <w:numPr>
          <w:ilvl w:val="0"/>
          <w:numId w:val="2"/>
        </w:numPr>
        <w:ind w:left="567" w:hanging="219"/>
        <w:jc w:val="left"/>
      </w:pPr>
      <w:r w:rsidRPr="000832A7">
        <w:t xml:space="preserve">speakers </w:t>
      </w:r>
      <w:r>
        <w:t xml:space="preserve">who may promote violence </w:t>
      </w:r>
      <w:r w:rsidRPr="000832A7">
        <w:t>directly</w:t>
      </w:r>
      <w:r>
        <w:t xml:space="preserve"> or indirectly,</w:t>
      </w:r>
      <w:r w:rsidRPr="000832A7">
        <w:t xml:space="preserve"> or </w:t>
      </w:r>
      <w:r>
        <w:t xml:space="preserve">who </w:t>
      </w:r>
      <w:r w:rsidRPr="000832A7">
        <w:t xml:space="preserve">may advance radicalisation </w:t>
      </w:r>
      <w:r>
        <w:t>as defined in the college’s statement on freedom of speech</w:t>
      </w:r>
    </w:p>
    <w:p w14:paraId="015A5B10" w14:textId="77777777" w:rsidR="00D10E17" w:rsidRPr="000832A7" w:rsidRDefault="00D10E17" w:rsidP="00D10E17">
      <w:pPr>
        <w:pStyle w:val="ListParagraph"/>
        <w:numPr>
          <w:ilvl w:val="0"/>
          <w:numId w:val="2"/>
        </w:numPr>
        <w:ind w:left="567" w:hanging="219"/>
        <w:jc w:val="left"/>
      </w:pPr>
      <w:r>
        <w:t>risks to participants and/or observers which cannot be sufficiently mitigated by reasonable measures</w:t>
      </w:r>
    </w:p>
    <w:p w14:paraId="02641D21" w14:textId="77777777" w:rsidR="00D10E17" w:rsidRDefault="00D10E17" w:rsidP="00D10E17">
      <w:pPr>
        <w:pStyle w:val="ListParagraph"/>
        <w:ind w:left="0"/>
        <w:jc w:val="left"/>
      </w:pPr>
    </w:p>
    <w:p w14:paraId="55BE23D3" w14:textId="6DB56558" w:rsidR="00D10E17" w:rsidRDefault="00D10E17" w:rsidP="00D10E17">
      <w:pPr>
        <w:pStyle w:val="ListParagraph"/>
        <w:numPr>
          <w:ilvl w:val="0"/>
          <w:numId w:val="5"/>
        </w:numPr>
        <w:ind w:left="360"/>
        <w:jc w:val="left"/>
      </w:pPr>
      <w:r>
        <w:t>If a booking is declined, or is only permitted with conditions, you may appeal to the Bursar indicat</w:t>
      </w:r>
      <w:r w:rsidR="00677FCF">
        <w:t>ing</w:t>
      </w:r>
      <w:r>
        <w:t xml:space="preserve"> clearly why you consider the Senior Tutor’s reasoning to be inappropriate. The Bursar’s decision is final.</w:t>
      </w:r>
    </w:p>
    <w:p w14:paraId="38D4255D" w14:textId="221CAC3E" w:rsidR="00790622" w:rsidRDefault="00790622" w:rsidP="00790622"/>
    <w:sectPr w:rsidR="00790622" w:rsidSect="00677FCF">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31AF" w14:textId="77777777" w:rsidR="00A964C2" w:rsidRDefault="00A964C2" w:rsidP="00D66710">
      <w:r>
        <w:separator/>
      </w:r>
    </w:p>
  </w:endnote>
  <w:endnote w:type="continuationSeparator" w:id="0">
    <w:p w14:paraId="24ED027B" w14:textId="77777777" w:rsidR="00A964C2" w:rsidRDefault="00A964C2" w:rsidP="00D6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8F4D" w14:textId="77777777" w:rsidR="00A964C2" w:rsidRDefault="00A964C2" w:rsidP="00D66710">
      <w:r>
        <w:separator/>
      </w:r>
    </w:p>
  </w:footnote>
  <w:footnote w:type="continuationSeparator" w:id="0">
    <w:p w14:paraId="1FC28D15" w14:textId="77777777" w:rsidR="00A964C2" w:rsidRDefault="00A964C2" w:rsidP="00D6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44C"/>
    <w:multiLevelType w:val="hybridMultilevel"/>
    <w:tmpl w:val="39725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926EC"/>
    <w:multiLevelType w:val="hybridMultilevel"/>
    <w:tmpl w:val="D5B41A86"/>
    <w:lvl w:ilvl="0" w:tplc="0809000F">
      <w:start w:val="1"/>
      <w:numFmt w:val="decimal"/>
      <w:lvlText w:val="%1."/>
      <w:lvlJc w:val="left"/>
      <w:pPr>
        <w:ind w:left="720" w:hanging="360"/>
      </w:pPr>
    </w:lvl>
    <w:lvl w:ilvl="1" w:tplc="C9C41210">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B1976"/>
    <w:multiLevelType w:val="hybridMultilevel"/>
    <w:tmpl w:val="EA1CF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E528D2"/>
    <w:multiLevelType w:val="hybridMultilevel"/>
    <w:tmpl w:val="63E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9640D"/>
    <w:multiLevelType w:val="hybridMultilevel"/>
    <w:tmpl w:val="D5B41A86"/>
    <w:lvl w:ilvl="0" w:tplc="0809000F">
      <w:start w:val="1"/>
      <w:numFmt w:val="decimal"/>
      <w:lvlText w:val="%1."/>
      <w:lvlJc w:val="left"/>
      <w:pPr>
        <w:ind w:left="720" w:hanging="360"/>
      </w:pPr>
    </w:lvl>
    <w:lvl w:ilvl="1" w:tplc="C9C41210">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D2F0B"/>
    <w:multiLevelType w:val="hybridMultilevel"/>
    <w:tmpl w:val="FF7031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16A49D5"/>
    <w:multiLevelType w:val="hybridMultilevel"/>
    <w:tmpl w:val="549E9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8"/>
    <w:rsid w:val="00211328"/>
    <w:rsid w:val="00281541"/>
    <w:rsid w:val="003B2160"/>
    <w:rsid w:val="0048407C"/>
    <w:rsid w:val="004A4807"/>
    <w:rsid w:val="004B3DB0"/>
    <w:rsid w:val="00557FDF"/>
    <w:rsid w:val="00606258"/>
    <w:rsid w:val="00677FCF"/>
    <w:rsid w:val="006D6CAA"/>
    <w:rsid w:val="00790622"/>
    <w:rsid w:val="00796572"/>
    <w:rsid w:val="00A37DE7"/>
    <w:rsid w:val="00A964C2"/>
    <w:rsid w:val="00BF35C1"/>
    <w:rsid w:val="00D10E17"/>
    <w:rsid w:val="00D66710"/>
    <w:rsid w:val="00F45A0C"/>
    <w:rsid w:val="00F60CB2"/>
    <w:rsid w:val="00F809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54D9"/>
  <w15:chartTrackingRefBased/>
  <w15:docId w15:val="{D5410987-179D-45DA-921B-6144CBC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41"/>
    <w:pPr>
      <w:tabs>
        <w:tab w:val="center" w:pos="4513"/>
        <w:tab w:val="right" w:pos="9026"/>
      </w:tabs>
    </w:pPr>
    <w:rPr>
      <w:rFonts w:cstheme="minorBidi"/>
      <w:color w:val="auto"/>
    </w:rPr>
  </w:style>
  <w:style w:type="character" w:customStyle="1" w:styleId="HeaderChar">
    <w:name w:val="Header Char"/>
    <w:basedOn w:val="DefaultParagraphFont"/>
    <w:link w:val="Header"/>
    <w:uiPriority w:val="99"/>
    <w:rsid w:val="00281541"/>
    <w:rPr>
      <w:rFonts w:cstheme="minorBidi"/>
      <w:color w:val="auto"/>
    </w:rPr>
  </w:style>
  <w:style w:type="character" w:styleId="Hyperlink">
    <w:name w:val="Hyperlink"/>
    <w:basedOn w:val="DefaultParagraphFont"/>
    <w:uiPriority w:val="99"/>
    <w:unhideWhenUsed/>
    <w:rsid w:val="00D66710"/>
    <w:rPr>
      <w:color w:val="0563C1" w:themeColor="hyperlink"/>
      <w:u w:val="single"/>
    </w:rPr>
  </w:style>
  <w:style w:type="paragraph" w:styleId="FootnoteText">
    <w:name w:val="footnote text"/>
    <w:basedOn w:val="Normal"/>
    <w:link w:val="FootnoteTextChar"/>
    <w:uiPriority w:val="99"/>
    <w:semiHidden/>
    <w:unhideWhenUsed/>
    <w:rsid w:val="00D66710"/>
    <w:rPr>
      <w:rFonts w:cstheme="minorBidi"/>
      <w:color w:val="auto"/>
      <w:sz w:val="20"/>
      <w:szCs w:val="20"/>
    </w:rPr>
  </w:style>
  <w:style w:type="character" w:customStyle="1" w:styleId="FootnoteTextChar">
    <w:name w:val="Footnote Text Char"/>
    <w:basedOn w:val="DefaultParagraphFont"/>
    <w:link w:val="FootnoteText"/>
    <w:uiPriority w:val="99"/>
    <w:semiHidden/>
    <w:rsid w:val="00D66710"/>
    <w:rPr>
      <w:rFonts w:cstheme="minorBidi"/>
      <w:color w:val="auto"/>
      <w:sz w:val="20"/>
      <w:szCs w:val="20"/>
    </w:rPr>
  </w:style>
  <w:style w:type="character" w:styleId="FootnoteReference">
    <w:name w:val="footnote reference"/>
    <w:basedOn w:val="DefaultParagraphFont"/>
    <w:uiPriority w:val="99"/>
    <w:semiHidden/>
    <w:unhideWhenUsed/>
    <w:rsid w:val="00D66710"/>
    <w:rPr>
      <w:vertAlign w:val="superscript"/>
    </w:rPr>
  </w:style>
  <w:style w:type="paragraph" w:customStyle="1" w:styleId="paragraph">
    <w:name w:val="paragraph"/>
    <w:basedOn w:val="Normal"/>
    <w:rsid w:val="0079657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796572"/>
  </w:style>
  <w:style w:type="character" w:customStyle="1" w:styleId="eop">
    <w:name w:val="eop"/>
    <w:basedOn w:val="DefaultParagraphFont"/>
    <w:rsid w:val="00796572"/>
  </w:style>
  <w:style w:type="paragraph" w:styleId="ListParagraph">
    <w:name w:val="List Paragraph"/>
    <w:basedOn w:val="Normal"/>
    <w:uiPriority w:val="34"/>
    <w:qFormat/>
    <w:rsid w:val="00D10E17"/>
    <w:pPr>
      <w:ind w:left="720"/>
      <w:contextualSpacing/>
      <w:jc w:val="both"/>
    </w:pPr>
    <w:rPr>
      <w:rFonts w:ascii="Calibri" w:eastAsia="Times New Roman" w:hAnsi="Calibri" w:cs="Arial"/>
      <w:color w:val="auto"/>
      <w:lang w:eastAsia="en-GB"/>
    </w:rPr>
  </w:style>
  <w:style w:type="character" w:styleId="UnresolvedMention">
    <w:name w:val="Unresolved Mention"/>
    <w:basedOn w:val="DefaultParagraphFont"/>
    <w:uiPriority w:val="99"/>
    <w:semiHidden/>
    <w:unhideWhenUsed/>
    <w:rsid w:val="00D1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6629">
      <w:bodyDiv w:val="1"/>
      <w:marLeft w:val="0"/>
      <w:marRight w:val="0"/>
      <w:marTop w:val="0"/>
      <w:marBottom w:val="0"/>
      <w:divBdr>
        <w:top w:val="none" w:sz="0" w:space="0" w:color="auto"/>
        <w:left w:val="none" w:sz="0" w:space="0" w:color="auto"/>
        <w:bottom w:val="none" w:sz="0" w:space="0" w:color="auto"/>
        <w:right w:val="none" w:sz="0" w:space="0" w:color="auto"/>
      </w:divBdr>
    </w:div>
    <w:div w:id="1081682443">
      <w:bodyDiv w:val="1"/>
      <w:marLeft w:val="0"/>
      <w:marRight w:val="0"/>
      <w:marTop w:val="0"/>
      <w:marBottom w:val="0"/>
      <w:divBdr>
        <w:top w:val="none" w:sz="0" w:space="0" w:color="auto"/>
        <w:left w:val="none" w:sz="0" w:space="0" w:color="auto"/>
        <w:bottom w:val="none" w:sz="0" w:space="0" w:color="auto"/>
        <w:right w:val="none" w:sz="0" w:space="0" w:color="auto"/>
      </w:divBdr>
      <w:divsChild>
        <w:div w:id="385614500">
          <w:marLeft w:val="0"/>
          <w:marRight w:val="0"/>
          <w:marTop w:val="0"/>
          <w:marBottom w:val="0"/>
          <w:divBdr>
            <w:top w:val="none" w:sz="0" w:space="0" w:color="auto"/>
            <w:left w:val="none" w:sz="0" w:space="0" w:color="auto"/>
            <w:bottom w:val="none" w:sz="0" w:space="0" w:color="auto"/>
            <w:right w:val="none" w:sz="0" w:space="0" w:color="auto"/>
          </w:divBdr>
        </w:div>
        <w:div w:id="1273561240">
          <w:marLeft w:val="0"/>
          <w:marRight w:val="0"/>
          <w:marTop w:val="0"/>
          <w:marBottom w:val="0"/>
          <w:divBdr>
            <w:top w:val="none" w:sz="0" w:space="0" w:color="auto"/>
            <w:left w:val="none" w:sz="0" w:space="0" w:color="auto"/>
            <w:bottom w:val="none" w:sz="0" w:space="0" w:color="auto"/>
            <w:right w:val="none" w:sz="0" w:space="0" w:color="auto"/>
          </w:divBdr>
        </w:div>
        <w:div w:id="1446339961">
          <w:marLeft w:val="0"/>
          <w:marRight w:val="0"/>
          <w:marTop w:val="0"/>
          <w:marBottom w:val="0"/>
          <w:divBdr>
            <w:top w:val="none" w:sz="0" w:space="0" w:color="auto"/>
            <w:left w:val="none" w:sz="0" w:space="0" w:color="auto"/>
            <w:bottom w:val="none" w:sz="0" w:space="0" w:color="auto"/>
            <w:right w:val="none" w:sz="0" w:space="0" w:color="auto"/>
          </w:divBdr>
        </w:div>
        <w:div w:id="177420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ernanceandcompliance.admin.cam.ac.uk/governance-and-strategy/university-statement-freedom-spe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ior.tutor@hughes.cam.ac.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CF805974C6441BFA631EED728A8DF" ma:contentTypeVersion="11" ma:contentTypeDescription="Create a new document." ma:contentTypeScope="" ma:versionID="b49b34eec8122da26ef89cb1cc2dd2d6">
  <xsd:schema xmlns:xsd="http://www.w3.org/2001/XMLSchema" xmlns:xs="http://www.w3.org/2001/XMLSchema" xmlns:p="http://schemas.microsoft.com/office/2006/metadata/properties" xmlns:ns2="2e51e246-dc4f-45d0-9c10-8d2a933335b7" xmlns:ns3="277154c3-137e-47c5-9568-c1965a51667e" targetNamespace="http://schemas.microsoft.com/office/2006/metadata/properties" ma:root="true" ma:fieldsID="e375e6e5de31acf9e934ad70cddf4938" ns2:_="" ns3:_="">
    <xsd:import namespace="2e51e246-dc4f-45d0-9c10-8d2a933335b7"/>
    <xsd:import namespace="277154c3-137e-47c5-9568-c1965a5166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e246-dc4f-45d0-9c10-8d2a93333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154c3-137e-47c5-9568-c1965a516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596B4-BD9E-4931-9CC4-F8029B7A8D97}">
  <ds:schemaRefs>
    <ds:schemaRef ds:uri="http://schemas.microsoft.com/sharepoint/v3/contenttype/forms"/>
  </ds:schemaRefs>
</ds:datastoreItem>
</file>

<file path=customXml/itemProps2.xml><?xml version="1.0" encoding="utf-8"?>
<ds:datastoreItem xmlns:ds="http://schemas.openxmlformats.org/officeDocument/2006/customXml" ds:itemID="{EF3542CF-EC0B-44A4-863F-7F5167575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970B7-A8F7-4CFE-97B6-C4DCE6C8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e246-dc4f-45d0-9c10-8d2a933335b7"/>
    <ds:schemaRef ds:uri="277154c3-137e-47c5-9568-c1965a51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Hughes Hall</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Johnston</dc:creator>
  <cp:keywords/>
  <dc:description/>
  <cp:lastModifiedBy>Philip Johnston</cp:lastModifiedBy>
  <cp:revision>3</cp:revision>
  <dcterms:created xsi:type="dcterms:W3CDTF">2021-05-18T09:45:00Z</dcterms:created>
  <dcterms:modified xsi:type="dcterms:W3CDTF">2021-05-18T09:51:00Z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0x01010075DCF805974C6441BFA631EED728A8DF</vt:lpwstr>
  </property>
</Properties>
</file>